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评分标准</w:t>
      </w:r>
    </w:p>
    <w:p>
      <w:pPr>
        <w:spacing w:line="540" w:lineRule="exact"/>
        <w:ind w:firstLine="480" w:firstLineChars="200"/>
        <w:rPr>
          <w:rFonts w:ascii="宋体" w:hAnsi="宋体"/>
          <w:b/>
        </w:rPr>
      </w:pPr>
      <w:r>
        <w:rPr>
          <w:rFonts w:hint="eastAsia" w:ascii="宋体" w:hAnsi="宋体"/>
          <w:szCs w:val="24"/>
        </w:rPr>
        <w:t>评分项目及分值（总分100分）</w:t>
      </w:r>
    </w:p>
    <w:p>
      <w:pPr>
        <w:tabs>
          <w:tab w:val="left" w:pos="840"/>
          <w:tab w:val="left" w:pos="1050"/>
        </w:tabs>
        <w:adjustRightInd w:val="0"/>
        <w:snapToGrid w:val="0"/>
        <w:spacing w:line="460" w:lineRule="exact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（1）报价（40分）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1）本项目招标人设最高限价，投标报价超过最高限价的为无效投标文件；</w:t>
      </w:r>
    </w:p>
    <w:p>
      <w:pPr>
        <w:spacing w:line="360" w:lineRule="auto"/>
        <w:ind w:firstLine="360" w:firstLineChars="150"/>
        <w:rPr>
          <w:rFonts w:ascii="宋体" w:hAnsi="宋体"/>
        </w:rPr>
      </w:pPr>
      <w:r>
        <w:rPr>
          <w:rFonts w:hint="eastAsia" w:ascii="宋体" w:hAnsi="宋体"/>
        </w:rPr>
        <w:t xml:space="preserve"> 2）本项目有效投标人投标报价的算术平均值为评标基准价；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投标报价等于评标基准价的得满分，投标报价高于评标基准价的或低于评标基准价进行相应扣分，扣分值C的取定：每高于1%扣0.3分，每低于1%扣0.2分。其价格分计算公式如下：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189230</wp:posOffset>
            </wp:positionV>
            <wp:extent cx="3078480" cy="550545"/>
            <wp:effectExtent l="0" t="0" r="7620" b="1905"/>
            <wp:wrapSquare wrapText="bothSides"/>
            <wp:docPr id="1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2" w:firstLineChars="200"/>
        <w:rPr>
          <w:rFonts w:ascii="宋体" w:hAnsi="宋体"/>
          <w:b/>
        </w:rPr>
      </w:pPr>
    </w:p>
    <w:p>
      <w:pPr>
        <w:spacing w:line="360" w:lineRule="auto"/>
        <w:ind w:firstLine="482" w:firstLineChars="200"/>
        <w:rPr>
          <w:rFonts w:ascii="宋体" w:hAnsi="宋体"/>
          <w:b/>
        </w:rPr>
      </w:pPr>
    </w:p>
    <w:p>
      <w:pPr>
        <w:spacing w:line="360" w:lineRule="auto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/>
          <w:b/>
        </w:rPr>
        <w:t>）</w:t>
      </w:r>
      <w:r>
        <w:rPr>
          <w:rFonts w:hint="eastAsia" w:ascii="宋体" w:hAnsi="宋体"/>
          <w:b/>
          <w:lang w:eastAsia="zh-CN"/>
        </w:rPr>
        <w:t>产品技术参数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50</w:t>
      </w:r>
      <w:r>
        <w:rPr>
          <w:rFonts w:hint="eastAsia" w:ascii="宋体" w:hAnsi="宋体"/>
          <w:b/>
        </w:rPr>
        <w:t>分)</w:t>
      </w:r>
      <w:r>
        <w:rPr>
          <w:rFonts w:hint="eastAsia" w:ascii="宋体" w:hAnsi="宋体"/>
          <w:b/>
        </w:rPr>
        <w:tab/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szCs w:val="24"/>
        </w:rPr>
      </w:pPr>
      <w:r>
        <w:rPr>
          <w:rFonts w:hint="eastAsia" w:ascii="宋体" w:hAnsi="宋体"/>
          <w:bCs/>
        </w:rPr>
        <w:t>投标人提供的</w:t>
      </w:r>
      <w:r>
        <w:rPr>
          <w:rFonts w:hint="eastAsia" w:ascii="宋体" w:hAnsi="宋体"/>
          <w:bCs/>
          <w:lang w:eastAsia="zh-CN"/>
        </w:rPr>
        <w:t>产品</w:t>
      </w:r>
      <w:r>
        <w:rPr>
          <w:rFonts w:hint="eastAsia" w:ascii="宋体" w:hAnsi="宋体"/>
          <w:bCs/>
        </w:rPr>
        <w:t>的技术参数与招标文件采购清单中带</w:t>
      </w:r>
      <w:r>
        <w:rPr>
          <w:rFonts w:hint="eastAsia" w:ascii="宋体" w:hAnsi="宋体" w:cs="宋体"/>
          <w:szCs w:val="24"/>
          <w:lang w:eastAsia="zh-CN"/>
        </w:rPr>
        <w:t>三角形</w:t>
      </w:r>
      <w:r>
        <w:rPr>
          <w:rFonts w:hint="eastAsia" w:ascii="宋体" w:hAnsi="宋体" w:cs="宋体"/>
          <w:szCs w:val="24"/>
        </w:rPr>
        <w:t>（▲）的技术参数相比，每</w:t>
      </w:r>
      <w:r>
        <w:rPr>
          <w:rFonts w:ascii="宋体" w:hAnsi="宋体" w:cs="宋体"/>
          <w:szCs w:val="24"/>
        </w:rPr>
        <w:t>负偏离</w:t>
      </w:r>
      <w:r>
        <w:rPr>
          <w:rFonts w:hint="eastAsia" w:ascii="宋体" w:hAnsi="宋体" w:cs="宋体"/>
          <w:szCs w:val="24"/>
        </w:rPr>
        <w:t>一项</w:t>
      </w:r>
      <w:r>
        <w:rPr>
          <w:rFonts w:ascii="宋体" w:hAnsi="宋体" w:cs="宋体"/>
          <w:szCs w:val="24"/>
        </w:rPr>
        <w:t>扣</w:t>
      </w:r>
      <w:r>
        <w:rPr>
          <w:rFonts w:hint="eastAsia" w:ascii="宋体" w:hAnsi="宋体" w:cs="宋体"/>
          <w:szCs w:val="24"/>
        </w:rPr>
        <w:t>2</w:t>
      </w:r>
      <w:r>
        <w:rPr>
          <w:rFonts w:ascii="宋体" w:hAnsi="宋体" w:cs="宋体"/>
          <w:szCs w:val="24"/>
        </w:rPr>
        <w:t>分</w:t>
      </w:r>
      <w:r>
        <w:rPr>
          <w:rFonts w:hint="eastAsia" w:ascii="宋体" w:hAnsi="宋体" w:cs="宋体"/>
          <w:szCs w:val="24"/>
          <w:lang w:eastAsia="zh-CN"/>
        </w:rPr>
        <w:t>，</w:t>
      </w:r>
      <w:r>
        <w:rPr>
          <w:rFonts w:hint="eastAsia" w:ascii="宋体" w:hAnsi="宋体" w:cs="宋体"/>
          <w:szCs w:val="24"/>
        </w:rPr>
        <w:t>与不</w:t>
      </w:r>
      <w:r>
        <w:rPr>
          <w:rFonts w:hint="eastAsia" w:ascii="宋体" w:hAnsi="宋体" w:cs="宋体"/>
          <w:szCs w:val="24"/>
          <w:lang w:eastAsia="zh-CN"/>
        </w:rPr>
        <w:t>带</w:t>
      </w:r>
      <w:bookmarkStart w:id="0" w:name="_GoBack"/>
      <w:bookmarkEnd w:id="0"/>
      <w:r>
        <w:rPr>
          <w:rFonts w:hint="eastAsia" w:ascii="宋体" w:hAnsi="宋体" w:cs="宋体"/>
          <w:szCs w:val="24"/>
          <w:lang w:eastAsia="zh-CN"/>
        </w:rPr>
        <w:t>三角形</w:t>
      </w:r>
      <w:r>
        <w:rPr>
          <w:rFonts w:hint="eastAsia" w:ascii="宋体" w:hAnsi="宋体"/>
          <w:bCs/>
        </w:rPr>
        <w:t>（</w:t>
      </w:r>
      <w:r>
        <w:rPr>
          <w:rFonts w:hint="eastAsia" w:ascii="宋体" w:hAnsi="宋体" w:cs="宋体"/>
          <w:szCs w:val="24"/>
        </w:rPr>
        <w:t>▲</w:t>
      </w:r>
      <w:r>
        <w:rPr>
          <w:rFonts w:hint="eastAsia" w:ascii="宋体" w:hAnsi="宋体"/>
          <w:bCs/>
        </w:rPr>
        <w:t>）</w:t>
      </w:r>
      <w:r>
        <w:rPr>
          <w:rFonts w:hint="eastAsia" w:ascii="宋体" w:hAnsi="宋体" w:cs="宋体"/>
          <w:szCs w:val="24"/>
        </w:rPr>
        <w:t>的技术参数相比，每负</w:t>
      </w:r>
      <w:r>
        <w:rPr>
          <w:rFonts w:ascii="宋体" w:hAnsi="宋体" w:cs="宋体"/>
          <w:szCs w:val="24"/>
        </w:rPr>
        <w:t>偏离</w:t>
      </w:r>
      <w:r>
        <w:rPr>
          <w:rFonts w:hint="eastAsia" w:ascii="宋体" w:hAnsi="宋体" w:cs="宋体"/>
          <w:szCs w:val="24"/>
        </w:rPr>
        <w:t>一项扣1分</w:t>
      </w:r>
      <w:r>
        <w:rPr>
          <w:rFonts w:ascii="宋体" w:hAnsi="宋体" w:cs="宋体"/>
          <w:szCs w:val="24"/>
        </w:rPr>
        <w:t>，</w:t>
      </w:r>
      <w:r>
        <w:rPr>
          <w:rFonts w:hint="eastAsia" w:ascii="宋体" w:hAnsi="宋体" w:cs="宋体"/>
          <w:szCs w:val="24"/>
        </w:rPr>
        <w:t>扣完为止。但技术参数的偏离不得改变该产品的性能和使用。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注：带</w:t>
      </w:r>
      <w:r>
        <w:rPr>
          <w:rFonts w:hint="eastAsia" w:ascii="宋体" w:hAnsi="宋体" w:cs="宋体"/>
          <w:szCs w:val="24"/>
          <w:lang w:eastAsia="zh-CN"/>
        </w:rPr>
        <w:t>三角形</w:t>
      </w:r>
      <w:r>
        <w:rPr>
          <w:rFonts w:hint="eastAsia" w:ascii="宋体" w:hAnsi="宋体" w:cs="宋体"/>
          <w:szCs w:val="24"/>
        </w:rPr>
        <w:t>（▲）的技术参数，</w:t>
      </w:r>
      <w:r>
        <w:rPr>
          <w:rFonts w:hint="eastAsia" w:ascii="宋体" w:hAnsi="宋体"/>
        </w:rPr>
        <w:t>须提供原厂</w:t>
      </w:r>
      <w:r>
        <w:rPr>
          <w:rFonts w:hint="eastAsia" w:ascii="宋体" w:hAnsi="宋体"/>
          <w:lang w:eastAsia="zh-CN"/>
        </w:rPr>
        <w:t>授权检测报告</w:t>
      </w:r>
      <w:r>
        <w:rPr>
          <w:rFonts w:hint="eastAsia" w:ascii="宋体" w:hAnsi="宋体" w:cs="宋体"/>
          <w:szCs w:val="24"/>
        </w:rPr>
        <w:t>复印件</w:t>
      </w:r>
      <w:r>
        <w:rPr>
          <w:rFonts w:hint="eastAsia" w:ascii="宋体" w:hAnsi="宋体" w:cs="宋体"/>
          <w:szCs w:val="24"/>
          <w:lang w:eastAsia="zh-CN"/>
        </w:rPr>
        <w:t>加盖</w:t>
      </w:r>
      <w:r>
        <w:rPr>
          <w:rFonts w:hint="eastAsia" w:ascii="宋体" w:hAnsi="宋体" w:cs="宋体"/>
          <w:szCs w:val="24"/>
        </w:rPr>
        <w:t>公章，</w:t>
      </w:r>
      <w:r>
        <w:rPr>
          <w:rFonts w:ascii="宋体" w:hAnsi="宋体" w:cs="宋体"/>
          <w:szCs w:val="24"/>
        </w:rPr>
        <w:t>不提供或提供不符合要求的的</w:t>
      </w:r>
      <w:r>
        <w:rPr>
          <w:rFonts w:hint="eastAsia" w:ascii="宋体" w:hAnsi="宋体" w:cs="宋体"/>
          <w:szCs w:val="24"/>
        </w:rPr>
        <w:t>不得分。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</w:rPr>
      </w:pPr>
      <w:r>
        <w:rPr>
          <w:rFonts w:hint="eastAsia" w:ascii="宋体" w:hAnsi="宋体"/>
          <w:b/>
          <w:bCs/>
        </w:rPr>
        <w:t>（二）</w:t>
      </w:r>
      <w:r>
        <w:rPr>
          <w:rFonts w:hint="eastAsia" w:ascii="宋体" w:hAnsi="宋体"/>
          <w:b/>
          <w:bCs/>
          <w:lang w:eastAsia="zh-CN"/>
        </w:rPr>
        <w:t>技术服务</w:t>
      </w:r>
      <w:r>
        <w:rPr>
          <w:rFonts w:hint="eastAsia" w:ascii="宋体" w:hAnsi="宋体"/>
          <w:b/>
          <w:bCs/>
        </w:rPr>
        <w:t>（</w:t>
      </w:r>
      <w:r>
        <w:rPr>
          <w:rFonts w:hint="eastAsia" w:ascii="宋体" w:hAnsi="宋体"/>
          <w:b/>
          <w:bCs/>
          <w:lang w:val="en-US" w:eastAsia="zh-CN"/>
        </w:rPr>
        <w:t>10</w:t>
      </w:r>
      <w:r>
        <w:rPr>
          <w:rFonts w:hint="eastAsia" w:ascii="宋体" w:hAnsi="宋体"/>
          <w:b/>
          <w:bCs/>
        </w:rPr>
        <w:t>分）</w:t>
      </w:r>
    </w:p>
    <w:p>
      <w:pPr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1）项目实施方案及时间进度安排；（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分）</w:t>
      </w:r>
    </w:p>
    <w:p>
      <w:pPr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2）项目投入人员配置情况；（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分）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3）项目质量保证措施；（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分）</w:t>
      </w:r>
    </w:p>
    <w:p>
      <w:pPr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4）安装、调试及验收方案；（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分）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5）培训方案；（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分）</w:t>
      </w:r>
    </w:p>
    <w:p>
      <w:pPr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6）售后服务体系及应急响应措施。（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2F45"/>
    <w:rsid w:val="5E263F7B"/>
    <w:rsid w:val="7C1A386C"/>
    <w:rsid w:val="7E4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overflowPunct/>
      <w:autoSpaceDE/>
      <w:autoSpaceDN/>
      <w:adjustRightInd/>
      <w:spacing w:after="120" w:line="240" w:lineRule="auto"/>
      <w:ind w:left="420" w:leftChars="200" w:firstLine="420" w:firstLineChars="200"/>
      <w:jc w:val="left"/>
      <w:textAlignment w:val="auto"/>
    </w:pPr>
    <w:rPr>
      <w:rFonts w:ascii="Times New Roman" w:hAnsi="Times New Roman"/>
      <w:spacing w:val="0"/>
      <w:sz w:val="20"/>
    </w:rPr>
  </w:style>
  <w:style w:type="paragraph" w:styleId="3">
    <w:name w:val="Body Text Indent"/>
    <w:basedOn w:val="1"/>
    <w:next w:val="4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2021-06-26T12:26:00Z</dcterms:created>
  <dc:creator>Administrator</dc:creator>
  <cp:lastModifiedBy>A.F</cp:lastModifiedBy>
  <dcterms:modified xsi:type="dcterms:W3CDTF">2021-06-26T14:12:48Z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