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1760"/>
        <w:jc w:val="both"/>
        <w:rPr>
          <w:rFonts w:hint="default" w:ascii="Calibri" w:hAnsi="宋体" w:eastAsia="宋体"/>
          <w:color w:val="auto"/>
          <w:position w:val="0"/>
          <w:sz w:val="44"/>
          <w:szCs w:val="44"/>
        </w:rPr>
      </w:pPr>
      <w:r>
        <w:rPr>
          <w:rFonts w:hint="default" w:ascii="Calibri" w:hAnsi="宋体" w:eastAsia="宋体"/>
          <w:color w:val="auto"/>
          <w:position w:val="0"/>
          <w:sz w:val="44"/>
          <w:szCs w:val="44"/>
        </w:rPr>
        <w:t>玉祁高中热水工程维修报价表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1760"/>
        <w:jc w:val="both"/>
        <w:rPr>
          <w:rFonts w:hint="default" w:ascii="Calibri" w:hAnsi="宋体" w:eastAsia="宋体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高一，高二宿舍（美的空气能10台10匹循环机组，水箱100吨，双路供水）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tbl>
      <w:tblPr>
        <w:tblStyle w:val="26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17"/>
        <w:gridCol w:w="1466"/>
        <w:gridCol w:w="1284"/>
        <w:gridCol w:w="1483"/>
        <w:gridCol w:w="867"/>
        <w:gridCol w:w="87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名 称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型号及规格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单价</w:t>
            </w: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总价</w:t>
            </w: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主机保养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美的KFXR-3811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台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10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管路检测清洗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项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电路检测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项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电箱检测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项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各种功能检测</w:t>
            </w:r>
          </w:p>
        </w:tc>
        <w:tc>
          <w:tcPr>
            <w:tcW w:w="146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项</w:t>
            </w:r>
          </w:p>
        </w:tc>
        <w:tc>
          <w:tcPr>
            <w:tcW w:w="14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7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6</w:t>
            </w:r>
          </w:p>
        </w:tc>
        <w:tc>
          <w:tcPr>
            <w:tcW w:w="17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合计</w:t>
            </w:r>
          </w:p>
        </w:tc>
        <w:tc>
          <w:tcPr>
            <w:tcW w:w="5974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7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高三男生（女生）宿舍（太阳能2000只集热管，空气能3台20匹机组，水箱36吨，27吨，单路供水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tbl>
      <w:tblPr>
        <w:tblStyle w:val="26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83"/>
        <w:gridCol w:w="1517"/>
        <w:gridCol w:w="1216"/>
        <w:gridCol w:w="1534"/>
        <w:gridCol w:w="900"/>
        <w:gridCol w:w="9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7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名称</w:t>
            </w:r>
          </w:p>
        </w:tc>
        <w:tc>
          <w:tcPr>
            <w:tcW w:w="15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规格及型号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153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单价</w:t>
            </w:r>
          </w:p>
        </w:tc>
        <w:tc>
          <w:tcPr>
            <w:tcW w:w="9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总价</w:t>
            </w:r>
          </w:p>
        </w:tc>
        <w:tc>
          <w:tcPr>
            <w:tcW w:w="11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17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集热管</w:t>
            </w:r>
          </w:p>
        </w:tc>
        <w:tc>
          <w:tcPr>
            <w:tcW w:w="15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58/1800mm</w:t>
            </w: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支</w:t>
            </w:r>
          </w:p>
        </w:tc>
        <w:tc>
          <w:tcPr>
            <w:tcW w:w="153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178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控制箱</w:t>
            </w:r>
          </w:p>
        </w:tc>
        <w:tc>
          <w:tcPr>
            <w:tcW w:w="151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套</w:t>
            </w:r>
          </w:p>
        </w:tc>
        <w:tc>
          <w:tcPr>
            <w:tcW w:w="153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水箱清洗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36吨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台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水箱清洗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27吨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台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管路清洗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2000只集热模块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组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6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清洗剂(克垢）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50L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桶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7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传感器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100K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20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8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不锈钢蝶阀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SN50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8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9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不锈钢过滤器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DN50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10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不锈钢止回阀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DN50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11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不锈钢电磁阀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DN50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4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12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循环水泵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2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13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传感器线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2X0.5mm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米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150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14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水泵线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3X2,5mm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米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200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15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空气能线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4X10mm＋1X6mm</w:t>
            </w: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米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120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16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各种线管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批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17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保温修补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项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18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维修辅材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项</w:t>
            </w: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19</w:t>
            </w: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53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  <w:t>合计</w:t>
            </w:r>
          </w:p>
        </w:tc>
        <w:tc>
          <w:tcPr>
            <w:tcW w:w="610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both"/>
              <w:rPr>
                <w:rFonts w:hint="default" w:ascii="宋体" w:hAnsi="宋体" w:eastAsia="宋体"/>
                <w:shadow w:val="0"/>
                <w:color w:val="000000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left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58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说明：1，此次维修更换配件质保2年，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6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2，维修中再次发现新的问题，不在此报价范围内的，需要增加更换配件的费用及人工费再次报价。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6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3，本工程需要7天时间。保证在8月25号前完工，供热水正常。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bookmarkStart w:id="0" w:name="_GoBack"/>
      <w:bookmarkEnd w:id="0"/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35B8443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table" w:styleId="26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173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2021-08-15T02:37:02Z</dcterms:created>
  <dc:creator>Administrator</dc:creator>
  <cp:lastModifiedBy>Administrator</cp:lastModifiedBy>
  <dcterms:modified xsi:type="dcterms:W3CDTF">2021-08-15T02:37:45Z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